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04DBC" w14:textId="77777777" w:rsidR="003A5CA0" w:rsidRPr="003A5CA0" w:rsidRDefault="003A5CA0" w:rsidP="003A5CA0">
      <w:pPr>
        <w:spacing w:before="120" w:after="0" w:line="240" w:lineRule="auto"/>
        <w:jc w:val="center"/>
        <w:rPr>
          <w:rFonts w:ascii="Arial" w:eastAsia="MS Mincho" w:hAnsi="Arial" w:cs="Arial"/>
          <w:b/>
          <w:bCs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b/>
          <w:bCs/>
          <w:color w:val="000000"/>
          <w:sz w:val="20"/>
          <w:szCs w:val="20"/>
          <w:lang w:eastAsia="pt-BR"/>
        </w:rPr>
        <w:t>ANEXO I</w:t>
      </w:r>
    </w:p>
    <w:p w14:paraId="2462FED7" w14:textId="77777777" w:rsidR="003A5CA0" w:rsidRPr="003A5CA0" w:rsidRDefault="003A5CA0" w:rsidP="003A5CA0">
      <w:pPr>
        <w:spacing w:after="240" w:line="240" w:lineRule="auto"/>
        <w:jc w:val="center"/>
        <w:rPr>
          <w:rFonts w:ascii="Arial" w:eastAsia="MS Mincho" w:hAnsi="Arial" w:cs="Arial"/>
          <w:b/>
          <w:bCs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b/>
          <w:bCs/>
          <w:color w:val="000000"/>
          <w:sz w:val="20"/>
          <w:szCs w:val="20"/>
          <w:lang w:eastAsia="pt-BR"/>
        </w:rPr>
        <w:t>DOCUMENTAÇÃO EXIGIDA PARA HABILITAÇÃO</w:t>
      </w:r>
    </w:p>
    <w:p w14:paraId="630C34A8" w14:textId="77777777" w:rsidR="003A5CA0" w:rsidRPr="003A5CA0" w:rsidRDefault="003A5CA0" w:rsidP="003A5CA0">
      <w:pPr>
        <w:pStyle w:val="PargrafodaLista"/>
        <w:numPr>
          <w:ilvl w:val="0"/>
          <w:numId w:val="2"/>
        </w:numPr>
        <w:shd w:val="clear" w:color="auto" w:fill="FFFFFF"/>
        <w:spacing w:before="240" w:after="120" w:line="276" w:lineRule="auto"/>
        <w:jc w:val="both"/>
        <w:textAlignment w:val="baseline"/>
        <w:rPr>
          <w:rFonts w:ascii="Arial" w:eastAsia="WenQuanYi Micro Hei" w:hAnsi="Arial" w:cs="Arial"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b/>
          <w:bCs/>
          <w:color w:val="000000"/>
          <w:sz w:val="20"/>
          <w:szCs w:val="20"/>
          <w:lang w:eastAsia="zh-CN" w:bidi="hi-IN"/>
        </w:rPr>
        <w:t xml:space="preserve">Habilitação jurídica: </w:t>
      </w:r>
    </w:p>
    <w:p w14:paraId="664D0A1D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  <w:lang w:eastAsia="pt-BR"/>
        </w:rPr>
        <w:t>No caso de empresário individual, inscrição no Registro Público de Empresas Mercantis, a cargo da Junta Comercial da respectiva sede.</w:t>
      </w:r>
    </w:p>
    <w:p w14:paraId="3489E8C1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Em se tratando de Microempreendedor Individual – MEI: Certificado da Condição de Microempreendedor Individual - CCMEI, cuja aceitação ficará condicionada à verificação da autenticidade no sítio www.portaldoempreendedor.gov.br.</w:t>
      </w:r>
    </w:p>
    <w:p w14:paraId="29B3155F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No caso de sociedade empresária ou empresa individual de responsabilidade limitada - EIRELI: ato constitutivo, estatuto ou contrato social em vigor, devidamente registrado na Junta Comercial da respectiva sede, acompanhado de documento comprobatório de seus administradores.</w:t>
      </w:r>
    </w:p>
    <w:p w14:paraId="5647AE82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Inscrição no Registro Público de Empresas Mercantis onde opera, com averbação no Registro onde tem sede a matriz, no caso de ser o participante sucursal, filial ou agência.</w:t>
      </w:r>
    </w:p>
    <w:p w14:paraId="16FE98A1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No caso de sociedade simples: inscrição do ato constitutivo no Registro Civil das Pessoas Jurídicas do local de sua sede, acompanhada de prova da indicação dos seus administradores.</w:t>
      </w:r>
    </w:p>
    <w:p w14:paraId="40322571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Decreto de autorização, em se tratando de sociedade empresária estrangeira em funcionamento no País.</w:t>
      </w:r>
    </w:p>
    <w:p w14:paraId="4E8083D2" w14:textId="77777777" w:rsidR="003A5CA0" w:rsidRPr="003A5CA0" w:rsidRDefault="003A5CA0" w:rsidP="003A5CA0">
      <w:pPr>
        <w:pStyle w:val="PargrafodaLista"/>
        <w:numPr>
          <w:ilvl w:val="1"/>
          <w:numId w:val="2"/>
        </w:numPr>
        <w:spacing w:before="240" w:after="240" w:line="276" w:lineRule="auto"/>
        <w:jc w:val="both"/>
        <w:rPr>
          <w:rFonts w:ascii="Arial" w:eastAsia="MS Mincho" w:hAnsi="Arial" w:cs="Arial"/>
          <w:bCs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bCs/>
          <w:color w:val="000000"/>
          <w:sz w:val="20"/>
          <w:szCs w:val="20"/>
          <w:lang w:eastAsia="pt-BR"/>
        </w:rPr>
        <w:t>Os documentos acima deverão estar acompanhados de todas as alterações ou da consolidação respectiva.</w:t>
      </w:r>
    </w:p>
    <w:p w14:paraId="334DE276" w14:textId="77777777" w:rsidR="003A5CA0" w:rsidRPr="003A5CA0" w:rsidRDefault="003A5CA0" w:rsidP="003A5CA0">
      <w:pPr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textAlignment w:val="baseline"/>
        <w:rPr>
          <w:rFonts w:ascii="Arial" w:eastAsia="WenQuanYi Micro Hei" w:hAnsi="Arial" w:cs="Arial"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b/>
          <w:bCs/>
          <w:color w:val="000000"/>
          <w:sz w:val="20"/>
          <w:szCs w:val="20"/>
          <w:lang w:eastAsia="zh-CN" w:bidi="hi-IN"/>
        </w:rPr>
        <w:t xml:space="preserve"> Regularidade fiscal, social e trabalhista:</w:t>
      </w:r>
    </w:p>
    <w:p w14:paraId="4DF5942B" w14:textId="77777777" w:rsidR="003A5CA0" w:rsidRPr="003A5CA0" w:rsidRDefault="003A5CA0" w:rsidP="003A5CA0">
      <w:pPr>
        <w:pStyle w:val="PargrafodaLista"/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</w:rPr>
        <w:t>Prova de inscrição no Cadastro Nacional de Pessoas Jurídicas ou no Cadastro de Pessoas Físicas, conforme o caso.</w:t>
      </w:r>
    </w:p>
    <w:p w14:paraId="61422483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  <w:lang w:eastAsia="pt-BR"/>
        </w:rPr>
        <w:t>Prova de regularidade fiscal perante a Fazenda Nacional, mediante apresentação de certidão expedida conjuntamente pela Secretaria da Receita Federal do Brasil (RFB) e pela Procuradoria-Geral da Fazenda Nacional (PGFN), referente a todos os créditos tributários federais e à Dívida Ativa da União (DAU) por elas administrados, inclusive aqueles relativos à Seguridade Social, nos termos da Portaria Conjunta nº 1.751, de 02/10/2014, do Secretário da Receita Federal do Brasil e da Procuradora-Geral da Fazenda Nacional.</w:t>
      </w:r>
    </w:p>
    <w:p w14:paraId="417FAF33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color w:val="000000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color w:val="000000"/>
          <w:sz w:val="20"/>
          <w:szCs w:val="20"/>
        </w:rPr>
        <w:t>Prova de regularidade com o Fundo de Garantia do Tempo de Serviço (FGTS).</w:t>
      </w:r>
    </w:p>
    <w:p w14:paraId="5A7109CC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</w:rPr>
        <w:t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1943.</w:t>
      </w:r>
    </w:p>
    <w:p w14:paraId="3D91C1E2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bCs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bCs/>
          <w:sz w:val="20"/>
          <w:szCs w:val="20"/>
          <w:lang w:eastAsia="pt-BR"/>
        </w:rPr>
        <w:t xml:space="preserve">Prova de </w:t>
      </w: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 xml:space="preserve">inscrição no cadastro de contribuintes </w:t>
      </w:r>
      <w:r w:rsidRPr="003A5CA0">
        <w:rPr>
          <w:rFonts w:ascii="Arial" w:eastAsia="MS Mincho" w:hAnsi="Arial" w:cs="Arial"/>
          <w:iCs/>
          <w:sz w:val="20"/>
          <w:szCs w:val="20"/>
          <w:lang w:eastAsia="pt-BR"/>
        </w:rPr>
        <w:t>estadual e/ou municipal</w:t>
      </w:r>
      <w:r w:rsidRPr="003A5CA0">
        <w:rPr>
          <w:rFonts w:ascii="Arial" w:eastAsia="MS Mincho" w:hAnsi="Arial" w:cs="Arial"/>
          <w:color w:val="000000"/>
          <w:sz w:val="20"/>
          <w:szCs w:val="20"/>
          <w:lang w:eastAsia="pt-BR"/>
        </w:rPr>
        <w:t>, relativo ao domicílio ou sede do licitante, pertinente ao seu ramo de atividade e compatível com o objeto contratual</w:t>
      </w:r>
      <w:r w:rsidRPr="003A5CA0">
        <w:rPr>
          <w:rFonts w:ascii="Arial" w:eastAsia="MS Mincho" w:hAnsi="Arial" w:cs="Arial"/>
          <w:bCs/>
          <w:sz w:val="20"/>
          <w:szCs w:val="20"/>
          <w:lang w:eastAsia="pt-BR"/>
        </w:rPr>
        <w:t>.</w:t>
      </w:r>
    </w:p>
    <w:p w14:paraId="1BC7CEB9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b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  <w:lang w:eastAsia="pt-BR"/>
        </w:rPr>
        <w:t xml:space="preserve">Prova de regularidade com a Fazenda </w:t>
      </w:r>
      <w:r w:rsidRPr="003A5CA0">
        <w:rPr>
          <w:rFonts w:ascii="Arial" w:eastAsia="MS Mincho" w:hAnsi="Arial" w:cs="Arial"/>
          <w:iCs/>
          <w:sz w:val="20"/>
          <w:szCs w:val="20"/>
          <w:lang w:eastAsia="pt-BR"/>
        </w:rPr>
        <w:t xml:space="preserve">Estadual </w:t>
      </w:r>
      <w:r w:rsidRPr="003A5CA0">
        <w:rPr>
          <w:rFonts w:ascii="Arial" w:eastAsia="MS Mincho" w:hAnsi="Arial" w:cs="Arial"/>
          <w:sz w:val="20"/>
          <w:szCs w:val="20"/>
          <w:lang w:eastAsia="pt-BR"/>
        </w:rPr>
        <w:t>do domicílio ou sede do licitante, relativa à atividade em cujo exercício contrata ou concorre.</w:t>
      </w:r>
    </w:p>
    <w:p w14:paraId="5B525DF5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120" w:after="120" w:line="276" w:lineRule="auto"/>
        <w:jc w:val="both"/>
        <w:rPr>
          <w:rFonts w:ascii="Arial" w:eastAsia="MS Mincho" w:hAnsi="Arial" w:cs="Arial"/>
          <w:b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  <w:lang w:eastAsia="pt-BR"/>
        </w:rPr>
        <w:t xml:space="preserve">Prova de regularidade com a Fazenda </w:t>
      </w:r>
      <w:r w:rsidRPr="003A5CA0">
        <w:rPr>
          <w:rFonts w:ascii="Arial" w:eastAsia="MS Mincho" w:hAnsi="Arial" w:cs="Arial"/>
          <w:iCs/>
          <w:sz w:val="20"/>
          <w:szCs w:val="20"/>
          <w:lang w:eastAsia="pt-BR"/>
        </w:rPr>
        <w:t>Municipal</w:t>
      </w:r>
      <w:r w:rsidRPr="003A5CA0">
        <w:rPr>
          <w:rFonts w:ascii="Arial" w:eastAsia="MS Mincho" w:hAnsi="Arial" w:cs="Arial"/>
          <w:sz w:val="20"/>
          <w:szCs w:val="20"/>
          <w:lang w:eastAsia="pt-BR"/>
        </w:rPr>
        <w:t xml:space="preserve"> do domicílio ou sede do licitante, relativa à atividade em cujo exercício contrata ou concorre. </w:t>
      </w:r>
    </w:p>
    <w:p w14:paraId="3DA04AD4" w14:textId="77777777" w:rsidR="003A5CA0" w:rsidRPr="003A5CA0" w:rsidRDefault="003A5CA0" w:rsidP="003A5CA0">
      <w:pPr>
        <w:numPr>
          <w:ilvl w:val="1"/>
          <w:numId w:val="2"/>
        </w:numPr>
        <w:tabs>
          <w:tab w:val="left" w:pos="1440"/>
        </w:tabs>
        <w:autoSpaceDE w:val="0"/>
        <w:snapToGrid w:val="0"/>
        <w:spacing w:before="240" w:after="240" w:line="276" w:lineRule="auto"/>
        <w:ind w:right="113"/>
        <w:jc w:val="both"/>
        <w:rPr>
          <w:rFonts w:ascii="Arial" w:eastAsia="MS Mincho" w:hAnsi="Arial" w:cs="Arial"/>
          <w:b/>
          <w:sz w:val="20"/>
          <w:szCs w:val="20"/>
          <w:lang w:eastAsia="pt-BR"/>
        </w:rPr>
      </w:pPr>
      <w:r w:rsidRPr="003A5CA0">
        <w:rPr>
          <w:rFonts w:ascii="Arial" w:eastAsia="MS Mincho" w:hAnsi="Arial" w:cs="Arial"/>
          <w:sz w:val="20"/>
          <w:szCs w:val="20"/>
          <w:lang w:eastAsia="pt-BR"/>
        </w:rPr>
        <w:t xml:space="preserve">Caso o licitante seja considerado isento dos tributos estaduais ou municipais relacionados ao objeto contratual, deverá comprovar tal condição mediante a </w:t>
      </w:r>
      <w:r w:rsidRPr="003A5CA0">
        <w:rPr>
          <w:rFonts w:ascii="Arial" w:eastAsia="MS Mincho" w:hAnsi="Arial" w:cs="Arial"/>
          <w:sz w:val="20"/>
          <w:szCs w:val="20"/>
          <w:lang w:eastAsia="pt-BR"/>
        </w:rPr>
        <w:lastRenderedPageBreak/>
        <w:t>apresentação de declaração da Fazenda respectiva do seu domicílio ou sede, ou outra equivalente, na forma da lei.</w:t>
      </w:r>
    </w:p>
    <w:p w14:paraId="63AD4F1B" w14:textId="77777777" w:rsidR="003A5CA0" w:rsidRPr="003A5CA0" w:rsidRDefault="003A5CA0" w:rsidP="00942AAE">
      <w:pPr>
        <w:numPr>
          <w:ilvl w:val="0"/>
          <w:numId w:val="2"/>
        </w:numPr>
        <w:shd w:val="clear" w:color="auto" w:fill="FFFFFF"/>
        <w:spacing w:before="120" w:after="240" w:line="276" w:lineRule="auto"/>
        <w:jc w:val="both"/>
        <w:textAlignment w:val="baseline"/>
        <w:rPr>
          <w:rFonts w:ascii="Arial" w:eastAsia="WenQuanYi Micro Hei" w:hAnsi="Arial" w:cs="Arial"/>
          <w:b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b/>
          <w:color w:val="000000"/>
          <w:sz w:val="20"/>
          <w:szCs w:val="20"/>
          <w:lang w:eastAsia="zh-CN" w:bidi="hi-IN"/>
        </w:rPr>
        <w:t>Qualificação</w:t>
      </w:r>
      <w:r w:rsidRPr="003A5CA0">
        <w:rPr>
          <w:rFonts w:ascii="Arial" w:eastAsia="WenQuanYi Micro Hei" w:hAnsi="Arial" w:cs="Arial"/>
          <w:b/>
          <w:sz w:val="20"/>
          <w:szCs w:val="20"/>
          <w:lang w:eastAsia="zh-CN" w:bidi="hi-IN"/>
        </w:rPr>
        <w:t xml:space="preserve"> Técnica:</w:t>
      </w:r>
    </w:p>
    <w:p w14:paraId="1944E16C" w14:textId="5C197783" w:rsidR="003A5CA0" w:rsidRPr="003A5CA0" w:rsidRDefault="003A5CA0" w:rsidP="00942AAE">
      <w:pPr>
        <w:numPr>
          <w:ilvl w:val="1"/>
          <w:numId w:val="2"/>
        </w:numPr>
        <w:shd w:val="clear" w:color="auto" w:fill="FFFFFF"/>
        <w:spacing w:before="120" w:after="120" w:line="276" w:lineRule="auto"/>
        <w:jc w:val="both"/>
        <w:textAlignment w:val="baseline"/>
        <w:rPr>
          <w:rFonts w:ascii="Arial" w:eastAsia="WenQuanYi Micro Hei" w:hAnsi="Arial" w:cs="Arial"/>
          <w:bCs/>
          <w:color w:val="000000"/>
          <w:sz w:val="20"/>
          <w:szCs w:val="20"/>
          <w:lang w:eastAsia="zh-CN" w:bidi="hi-IN"/>
        </w:rPr>
      </w:pPr>
      <w:bookmarkStart w:id="0" w:name="_Hlk519176340"/>
      <w:r w:rsidRPr="003A5CA0">
        <w:rPr>
          <w:rFonts w:ascii="Arial" w:eastAsia="WenQuanYi Micro Hei" w:hAnsi="Arial" w:cs="Arial"/>
          <w:sz w:val="20"/>
          <w:szCs w:val="20"/>
          <w:lang w:eastAsia="zh-CN" w:bidi="hi-IN"/>
        </w:rPr>
        <w:t xml:space="preserve">Comprovação de capacidade técnica operacional, por meio da apresentação de, no mínimo, 1 (um) atestado fornecido por pessoa jurídica de direito público ou privado, que comprove ter a licitante cumprido, de forma satisfatória, a execução de objeto compatível ou com complexidade superior ao especificado no Termo de Referência - Anexo II deste edital, com clara menção da execução </w:t>
      </w:r>
      <w:r w:rsidR="00906024" w:rsidRPr="003A5CA0">
        <w:rPr>
          <w:rFonts w:ascii="Arial" w:eastAsia="WenQuanYi Micro Hei" w:hAnsi="Arial" w:cs="Arial"/>
          <w:sz w:val="20"/>
          <w:szCs w:val="20"/>
          <w:lang w:eastAsia="zh-CN" w:bidi="hi-IN"/>
        </w:rPr>
        <w:t>bem-sucedida</w:t>
      </w:r>
      <w:r w:rsidRPr="003A5CA0">
        <w:rPr>
          <w:rFonts w:ascii="Arial" w:eastAsia="WenQuanYi Micro Hei" w:hAnsi="Arial" w:cs="Arial"/>
          <w:sz w:val="20"/>
          <w:szCs w:val="20"/>
          <w:lang w:eastAsia="zh-CN" w:bidi="hi-IN"/>
        </w:rPr>
        <w:t>, relativamente ao cumprimento de prazos, especificações e qualidade do mesmo.</w:t>
      </w:r>
    </w:p>
    <w:bookmarkEnd w:id="0"/>
    <w:p w14:paraId="5AD38687" w14:textId="77777777" w:rsidR="003A5CA0" w:rsidRPr="003A5CA0" w:rsidRDefault="003A5CA0" w:rsidP="00942AAE">
      <w:pPr>
        <w:keepNext/>
        <w:widowControl w:val="0"/>
        <w:numPr>
          <w:ilvl w:val="3"/>
          <w:numId w:val="2"/>
        </w:numPr>
        <w:shd w:val="clear" w:color="auto" w:fill="FFFFFF"/>
        <w:spacing w:before="120" w:after="120" w:line="276" w:lineRule="auto"/>
        <w:jc w:val="both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O fornecedor disponibilizará todas as informações necessárias à comprovação da legitimidade dos atestados, apresentando, quando solicitado pela Administração, cópia do contrato que deu suporte à contratação, endereço atual da contratante, dentre outros documentos.</w:t>
      </w:r>
    </w:p>
    <w:p w14:paraId="7FDCCF04" w14:textId="77777777" w:rsidR="003A5CA0" w:rsidRPr="003A5CA0" w:rsidRDefault="003A5CA0" w:rsidP="00942AAE">
      <w:pPr>
        <w:keepNext/>
        <w:widowControl w:val="0"/>
        <w:numPr>
          <w:ilvl w:val="3"/>
          <w:numId w:val="2"/>
        </w:numPr>
        <w:shd w:val="clear" w:color="auto" w:fill="FFFFFF"/>
        <w:spacing w:before="120" w:after="120" w:line="276" w:lineRule="auto"/>
        <w:jc w:val="both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Não será admitida a apresentação de atestado de capacidade técnica emitido por empresa ou empresas do mesmo grupo econômico em favor da empresa participante, no caso desta também pertencer ao grupo econômico.</w:t>
      </w:r>
    </w:p>
    <w:p w14:paraId="54FED4D2" w14:textId="77777777" w:rsidR="003A5CA0" w:rsidRPr="003A5CA0" w:rsidRDefault="003A5CA0" w:rsidP="00942AAE">
      <w:pPr>
        <w:keepNext/>
        <w:widowControl w:val="0"/>
        <w:numPr>
          <w:ilvl w:val="3"/>
          <w:numId w:val="2"/>
        </w:numPr>
        <w:shd w:val="clear" w:color="auto" w:fill="FFFFFF"/>
        <w:spacing w:before="120" w:after="120" w:line="276" w:lineRule="auto"/>
        <w:jc w:val="both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3A5CA0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Os atestados de capacidade técnica poderão ser apresentados em nome da matriz ou da filial do fornecedor.</w:t>
      </w:r>
    </w:p>
    <w:sectPr w:rsidR="003A5CA0" w:rsidRPr="003A5C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5105"/>
    <w:multiLevelType w:val="hybridMultilevel"/>
    <w:tmpl w:val="1502694C"/>
    <w:lvl w:ilvl="0" w:tplc="33C0A1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C2E64"/>
    <w:multiLevelType w:val="multilevel"/>
    <w:tmpl w:val="270C5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42A860B7"/>
    <w:multiLevelType w:val="multilevel"/>
    <w:tmpl w:val="270C5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653F6489"/>
    <w:multiLevelType w:val="multilevel"/>
    <w:tmpl w:val="270C5C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68B655FA"/>
    <w:multiLevelType w:val="multilevel"/>
    <w:tmpl w:val="270C5C00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44" w:hanging="1800"/>
      </w:pPr>
      <w:rPr>
        <w:rFonts w:hint="default"/>
      </w:rPr>
    </w:lvl>
  </w:abstractNum>
  <w:abstractNum w:abstractNumId="5" w15:restartNumberingAfterBreak="0">
    <w:nsid w:val="6BE16122"/>
    <w:multiLevelType w:val="hybridMultilevel"/>
    <w:tmpl w:val="485678A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91199">
    <w:abstractNumId w:val="3"/>
  </w:num>
  <w:num w:numId="2" w16cid:durableId="2026782971">
    <w:abstractNumId w:val="1"/>
  </w:num>
  <w:num w:numId="3" w16cid:durableId="68238579">
    <w:abstractNumId w:val="4"/>
  </w:num>
  <w:num w:numId="4" w16cid:durableId="1611157580">
    <w:abstractNumId w:val="2"/>
  </w:num>
  <w:num w:numId="5" w16cid:durableId="1516194069">
    <w:abstractNumId w:val="5"/>
  </w:num>
  <w:num w:numId="6" w16cid:durableId="211235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A9"/>
    <w:rsid w:val="000A0E96"/>
    <w:rsid w:val="003A5CA0"/>
    <w:rsid w:val="006702A9"/>
    <w:rsid w:val="0068244E"/>
    <w:rsid w:val="00906024"/>
    <w:rsid w:val="00942AAE"/>
    <w:rsid w:val="0094405E"/>
    <w:rsid w:val="00C57666"/>
    <w:rsid w:val="00C9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391C"/>
  <w15:chartTrackingRefBased/>
  <w15:docId w15:val="{A49BE145-444C-494F-B559-BFBF3EF4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ade1">
    <w:name w:val="Tabela com grade1"/>
    <w:basedOn w:val="Tabelanormal"/>
    <w:next w:val="Tabelacomgrade"/>
    <w:uiPriority w:val="59"/>
    <w:rsid w:val="003A5CA0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3A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A5CA0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3A5C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DOCUMENTOS%202025\LICITA&#199;&#195;O\EDITAL\PREG&#195;O%20ELETR&#212;NICO\MINUTAS\PREG&#195;O%20ELETR&#212;NICO%20xxxxx%20-%20SEGURO\02%20-%20MODELO%20-%20ANEXO%20I%20-%20Documentos%20de%20Habilita&#231;&#227;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02 - MODELO - ANEXO I - Documentos de Habilitação</Template>
  <TotalTime>9</TotalTime>
  <Pages>2</Pages>
  <Words>642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Pires</dc:creator>
  <cp:keywords/>
  <dc:description/>
  <cp:lastModifiedBy>Douglas Prefeitura</cp:lastModifiedBy>
  <cp:revision>2</cp:revision>
  <dcterms:created xsi:type="dcterms:W3CDTF">2025-06-30T12:52:00Z</dcterms:created>
  <dcterms:modified xsi:type="dcterms:W3CDTF">2025-06-30T13:07:00Z</dcterms:modified>
</cp:coreProperties>
</file>